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24F" w:rsidP="001B424F" w:rsidRDefault="001B424F" w14:paraId="66AD8822" w14:textId="777777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MINIMALŪS TECHINIAI REIKAVIMAI ĮRANGAI</w:t>
      </w:r>
    </w:p>
    <w:p w:rsidR="001B424F" w:rsidP="001B424F" w:rsidRDefault="001B424F" w14:paraId="2A4C7577" w14:textId="777777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B424F" w:rsidP="001B424F" w:rsidRDefault="001B424F" w14:paraId="52432C66" w14:textId="777777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0484" w:type="dxa"/>
        <w:tblInd w:w="-289" w:type="dxa"/>
        <w:tblLook w:val="04A0" w:firstRow="1" w:lastRow="0" w:firstColumn="1" w:lastColumn="0" w:noHBand="0" w:noVBand="1"/>
      </w:tblPr>
      <w:tblGrid>
        <w:gridCol w:w="821"/>
        <w:gridCol w:w="2672"/>
        <w:gridCol w:w="4005"/>
        <w:gridCol w:w="2986"/>
      </w:tblGrid>
      <w:tr w:rsidR="001B424F" w:rsidTr="0EE7BAFF" w14:paraId="0DD29270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60B1A8B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Eil.</w:t>
            </w:r>
          </w:p>
          <w:p w:rsidR="001B424F" w:rsidRDefault="001B424F" w14:paraId="2306505E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445E204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7FC9250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P="0EE7BAFF" w:rsidRDefault="001B424F" w14:paraId="3F85DF41" w14:textId="6029FA01">
            <w:pPr>
              <w:pStyle w:val="Normal"/>
              <w:spacing w:line="240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noProof/>
                <w:sz w:val="22"/>
                <w:szCs w:val="22"/>
                <w:lang w:val="lt-LT"/>
              </w:rPr>
            </w:pPr>
            <w:r w:rsidRPr="0EE7BAFF" w:rsidR="6155AFA9">
              <w:rPr>
                <w:rFonts w:ascii="Times New Roman" w:hAnsi="Times New Roman" w:eastAsia="Calibri" w:cs="Times New Roman"/>
                <w:b w:val="1"/>
                <w:bCs w:val="1"/>
                <w:noProof/>
                <w:color w:val="000000" w:themeColor="text1" w:themeTint="FF" w:themeShade="FF"/>
                <w:sz w:val="22"/>
                <w:szCs w:val="22"/>
                <w:lang w:val="lt-LT"/>
              </w:rPr>
              <w:t>Tiekėjo siūlomos įrangos parametrai ir jų reikšmės pagal 2 ir 3 stulpelių reikalavimus</w:t>
            </w:r>
          </w:p>
        </w:tc>
      </w:tr>
      <w:tr w:rsidR="001B424F" w:rsidTr="0EE7BAFF" w14:paraId="7EDC2B67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24893A6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155533A7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00AB5A2D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Skysčių chromatografijos-masių spektrometrijos sistema su programine įranga biologoginių ir aplinko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mėginių kokybiniams ir kiekybiniams tyrimams naudojant didelės raiškos masių spektrus.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8AF0EEB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31A8815D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F7A1882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A0B2A6F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Skysčių chromatografas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967E427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76148A9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877946B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E85993A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Suderinamumas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653FD12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Ultra aukšo efektyvumo skysčių chromatografinė sistema mėginių įvedimui į QTof spektrometrą su biologiškai inertišku srauto keliu, apsaugančiu jautrias biomolekules nuo sąveikos su metaliniais paviršiais.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F205B74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32B69947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A2D34DD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1351E857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Siurblys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84B1437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Binarinis siurblys su ne maži</w:t>
            </w:r>
            <w:bookmarkStart w:name="_GoBack" w:id="0"/>
            <w:bookmarkEnd w:id="0"/>
            <w:r>
              <w:rPr>
                <w:rFonts w:ascii="Times New Roman" w:hAnsi="Times New Roman" w:cs="Times New Roman"/>
                <w:color w:val="000000"/>
              </w:rPr>
              <w:t>au kaip 4 eliuentų kanalais. Eliuentai maišomi bet kokiu santykiu.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3536E2E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050BB3D9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22305F9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4A8EF62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Slėgis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FF458D8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Maksimalus palaikomas slėgis ≥ 1000 bar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6C0132EE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6B30CBD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CFF4827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87FBC1C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Siurblio srauto intervalas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7606400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Bent nuo 0,001 ml/min iki ne mažiau kaip 2 ml/min su nustatymo žingsniu ne didesniu nei 0,001 ml/min.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7E92813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7492D03C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DFC6C19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7CBF931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sudėties preciziškumas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72374E3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sudėties santykinė standartinė paklaida (RSD) ≤ 0,15%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6648091F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45A0EFEB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F4B962B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1CCB993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Palaikomo srauto preciziškumas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5F820F5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santykinė standartinė paklaida (RSD) ≤ 0,075%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B1527B5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51B38923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A20E7CE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B69B714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Sistemos užlaikymo tūriai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1A17406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Gradiento užlaikymo tūris ne didesnis kaip 350 µl.</w:t>
            </w:r>
          </w:p>
          <w:p w:rsidR="001B424F" w:rsidRDefault="001B424F" w14:paraId="39ECEA77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Sistemos užlaikymo tūris ne didesnis kaip 500 µl.</w:t>
            </w:r>
          </w:p>
          <w:p w:rsidR="001B424F" w:rsidRDefault="001B424F" w14:paraId="50EB9A5E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Bendras 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chromatografinės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 zonos išsiplėtimas ne daugiau kaip 20 µl.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798DD865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362B18DA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FA0D3A9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7E4F355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Automatinis mėginių injektorius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557BDF2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Ne mažiau nei 96 vietų standartinių 2 mL buteliukų talpos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21EE45A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56A55B2C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E6539F7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C6D793E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Automatinio mėginių injektoriaus injekcijos tūris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ED1286D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Minimalus tūris ≤ 0,1 µl; </w:t>
            </w:r>
          </w:p>
          <w:p w:rsidR="001B424F" w:rsidRDefault="001B424F" w14:paraId="09089C77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Maksimalus tūris ≥ 100 µl.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2A6743EB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62379D59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0A787CB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611444C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Mėginių temperatūros palaikymas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F75F15F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Mėginio temperatūros palaikymas bent nuo 4°C iki ne mažiau kaip 40°C, temperatūros nustatymo žingsnis ne didesnis nei 0,1°C.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1AB9BA95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05F60ED4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A9C5A85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B49451C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Kolonėlių termostatas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4ECFDC4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Sistema turi būti komplektuojama su kolonėlių termostatu ar termostatais, užtikrinančius bent dviejų ≥ 15 cm ilgio kolonėlių individualų 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termostatavimą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>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2D023B2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00F0B3C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BA3801B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A767945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Kolonėlių termostato darbinis intervalas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E172516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Individualių kolonėlių temperatūra palaikoma nuo ne daugiau nei 10°C iki ne mažiau nei 80°C, minimalus nustatymo žingsnis ne daugiau nei 0,1°C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28F66861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285FA34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C2EC6E7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</w:t>
            </w:r>
          </w:p>
        </w:tc>
        <w:tc>
          <w:tcPr>
            <w:tcW w:w="6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1991580C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Masių detektorius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77EB8CD0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9517622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8DC7370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C453B4D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700A182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Didelės raiškos QTof masių spektrometras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E40DC55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07C53112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52DB43E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56889B6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Jonų šaltinis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677E722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Turi būti atmosferinio slėgio jonizacijos (API) LC sąsaja, įskaitant jonų šaltinį ir purškimo elementus.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0EAB8ED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9B70739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2F83244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6AD336A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Masių kalibracija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D9A6C1B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API sąsaja turi turėti integruotą automatinę masių kalibravimo (korekcijos) sistemą, užtikrinančią etaloninės medžiagos (vidinio standarto / 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kalibratoriaus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>) įvedimą ir masių skalės koregavimą realiuoju laiku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583238B9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4AAA3F0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1D9CCC6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35A7C30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Kiekybinė analizė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15AFF13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QTof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 analizatorius turi turėti standartinį TOF-MRM (tikslinį MRM) režimą, skirtą kiekybinei analizei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7AF85A3C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4D927FCE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15FF6A5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1985E439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Masės atranka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0910EBD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Masės atrankos intervalas (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prekursoriaus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 atrankos langas arba izoliacinis 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kvadrupolis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>) iki ne mažiau nei 2250 m/z (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Da</w:t>
            </w:r>
            <w:proofErr w:type="spellEnd"/>
            <w:r>
              <w:rPr>
                <w:rFonts w:ascii="Times New Roman" w:hAnsi="Times New Roman" w:cs="Times New Roman"/>
                <w:noProof w:val="0"/>
                <w:color w:val="000000"/>
              </w:rPr>
              <w:t>).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17EF2CB3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3477128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083DE532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498E5D18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Skiriamoji geba ir skenavimo dažnis 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59648D1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Skiriamoji geba ne mažesnė nei 40000 FWHM.</w:t>
            </w:r>
          </w:p>
          <w:p w:rsidR="001B424F" w:rsidRDefault="001B424F" w14:paraId="217477BC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MS skenavimo dažnis yra ne mažiau nei 25 Hz ir MS/MS skenavimo dažnis ne mažiau nei 30 Hz.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C2219E1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7CCD83BA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6CCC9A6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960AF08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Masių tikslumas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3D27BBEB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Masės tikslumas &lt; 1 </w:t>
            </w:r>
            <w:proofErr w:type="spellStart"/>
            <w:r>
              <w:rPr>
                <w:rFonts w:ascii="Times New Roman" w:hAnsi="Times New Roman" w:cs="Times New Roman"/>
                <w:noProof w:val="0"/>
                <w:color w:val="000000"/>
              </w:rPr>
              <w:t>ppm</w:t>
            </w:r>
            <w:proofErr w:type="spellEnd"/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3861036F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372D817E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3435E91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A8FE55F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Nuo duomenų nepriklausomas analizės režimas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7D5F61B9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Masių spektrometras turi turėti nuo duomenų nepriklausomą analizės (DIA) režimą, užtikrinantį lygiagretų motininių (prekursorių) ir fragmentų jonų tikslių masių duomenų rinkimą vienos injekcijos metu per visą chromatografinės smailės eliuavimo laiką.</w:t>
            </w:r>
          </w:p>
          <w:p w:rsidR="001B424F" w:rsidRDefault="001B424F" w14:paraId="4F34EBEB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Duomenų surinkimas turi vykti automatiškai: arba kaitaliojant susidūrimų kameros energijos lygį (žemos ir aukštos energijos režimus) visame masių diapazone, arba naudojant dinamiškai slenkančius/kintamus masės izoliavimo langus (pavyzdžiui, SWATH, dia-PASEF ar lygiaverčius režimus).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3C4B7DFF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554F9F1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67CDA127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56AC41F6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Vakuumo sistema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96B70AE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Turi būti naudojamas bent vienas oru aušinamas turbomolekulinis siurblys ir vienas sauso tipo pirminio vakuumo siurblys.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19CE95C9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A0F8C1E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480555B0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6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0FB51130" w14:textId="7777777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Taikomoji programinė įranga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30612685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41B852A6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17F1F8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4E98CEE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Funkcionalumas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ED06F35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Įrangos valdymui, chromatografijos ir masių spektrometrijos duomenų generavimui, kaupimui, analizei ir ataskaitų formavimui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D4741E8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369E5236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7477D53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C9FBCE1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471DFAE0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Taikomoji programa turi būti skirta ar turėti dedikuotus įskiepius/modulius:</w:t>
            </w:r>
          </w:p>
          <w:p w:rsidR="001B424F" w:rsidRDefault="001B424F" w14:paraId="642E3605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 Mažų molekulių (pvz., metabolitų, teršalų, priemaišų, vaistinių medžiagų ar toksinų) kokybinei ir kiekybinei analizei skirtas paketas, užtikrinantis automatinį junginių identifikavimą, masių spektrų dekonvoliuciją bei palyginimą su duomenų bazėmis/bibliotekomis.</w:t>
            </w:r>
          </w:p>
          <w:p w:rsidR="001B424F" w:rsidRDefault="001B424F" w14:paraId="5BDB4511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Kiekybinės analizės paketas, skirtas MS, MS/MS duomenų, įskaitant Tof-MRM, apdorojimui. Aplikacija privalo turėti optimizuotą chromatogramų peržiūros, prekursorių/fragmentų masių porų (perėjimų) valdymo bei rezultatų pateikimo sąsają ir nukrypimų identifikavimo funkcionalumą, leidžiantį pagreitinti didelės apimties mėginių serijų vertinimą.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05F5828F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591D1D0F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72C4A62C" w14:textId="777777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7D27EDE7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Junginių identifikavimo bibliotekos ir duomenų bazių integracija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7FDEA3EF" w14:textId="77777777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Programinė įranga turi turėti integruotus įrankius, užtikrinančius automatizuotą cheminių struktūrų paiešką ir identifikavimą viešose internetinėse duomenų bazėse (pavyzdžiui, „Chemspider“, „PubChem“ arba lygiavertėse).</w:t>
            </w:r>
          </w:p>
          <w:p w:rsidR="001B424F" w:rsidRDefault="001B424F" w14:paraId="1B44131E" w14:textId="77777777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Kartu turi būti pateikiamos spektrų / junginių bibliotekos kelioms grupėms (pavyzdžiui, pesticidams, vaistams ir natūraliems produktams / metabolitams), veikiančios automatizuotoje duomenų apdorojimo eigoje.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1D9E3327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7A3B7C2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4CF0A3A3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46C2803A" w14:textId="7777777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Kompiuterinė darbo stotis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EBE0D02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Gamintojo rekomendacijas atitinkanti PC darbo stotis su Win11 arba lygiaverte operacine sistema ir reikiamais priedais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4C05DAB2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0DB21745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7ECD3FD3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3168441" w14:textId="7777777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Pagalbinė įranga ir priedai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31DC7C2B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Tiekėjas turi pristatyti ir sumontuoti visą pilnavertiškam sistemos darbui reikalingą pagalbinę įrangą, patiekti reikiamus regentus darbo pradžiai įskaitant:</w:t>
            </w:r>
          </w:p>
          <w:p w:rsidR="001B424F" w:rsidP="006216AB" w:rsidRDefault="001B424F" w14:paraId="72944D31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Atliekų surinkimo talpą</w:t>
            </w:r>
          </w:p>
          <w:p w:rsidR="001B424F" w:rsidP="006216AB" w:rsidRDefault="001B424F" w14:paraId="3E624D42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Talpas eliuentams, bent 4 vnt. po 1L su tirpiklių garavimą eliminuojančiais kamščiais</w:t>
            </w:r>
          </w:p>
          <w:p w:rsidR="001B424F" w:rsidP="006216AB" w:rsidRDefault="001B424F" w14:paraId="5C3AAB93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Bent 100 vnt. 2 ml chromatografinių buteliukų su kamšteliais ir septomis</w:t>
            </w:r>
          </w:p>
          <w:p w:rsidR="001B424F" w:rsidP="006216AB" w:rsidRDefault="001B424F" w14:paraId="51D514FF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Reagentus įrangos paleidimui, funkcionalumo patikrinimui ir derinimui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7693585E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1DB41EEF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04337522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45213C45" w14:textId="7777777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Sertifikatai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711EF45" w14:textId="77777777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 xml:space="preserve">Įranga privalo būti pažymėta EU saugumo reikalavimus. Kartu su pasiūlymu privaloma pateikti žymėjimą CE ženklu </w:t>
            </w:r>
            <w:r>
              <w:rPr>
                <w:rFonts w:ascii="Times New Roman" w:hAnsi="Times New Roman" w:cs="Times New Roman"/>
                <w:noProof w:val="0"/>
                <w:color w:val="000000"/>
              </w:rPr>
              <w:lastRenderedPageBreak/>
              <w:t>liudijančio galiojančio dokumento arba EB atitikties deklaracijos kopiją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7614F97D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60F16BCD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213674E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D6EE2D1" w14:textId="7777777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El. maitinimas, sąnaudos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020050B5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220-240 V, 50 Hz.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6124EEFE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2150478A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8C18D09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244C6BE3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Garantinis terminas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1B424F" w:rsidRDefault="001B424F" w14:paraId="22D3A03C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 12 mėnesiai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2BB6DD30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6DF7B0A3" w14:textId="77777777"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1FD54F74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555D235" w14:textId="77777777">
            <w:pPr>
              <w:spacing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Vartotojų apmokymas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86E1684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Vartotojų apmokymas naudoti įrangą turi būti įskaičiuotas į pasiūlymo kainą.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1262A8F0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:rsidTr="0EE7BAFF" w14:paraId="0CF0761F" w14:textId="77777777">
        <w:trPr>
          <w:trHeight w:val="572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524058EC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09A02B62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Įrangos pristatymas ir instaliavimas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424F" w:rsidRDefault="001B424F" w14:paraId="60ACF351" w14:textId="7777777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SimSun" w:cs="Times New Roman"/>
                <w:kern w:val="2"/>
                <w:lang w:eastAsia="hi-IN" w:bidi="hi-IN"/>
              </w:rPr>
              <w:t xml:space="preserve">Įrangos pristatymo, instaliavimo, po instaliavimo likusių įpakavimo medžiagų išvežimo (utilizavimo) išlaidos turi būti </w:t>
            </w:r>
            <w:r>
              <w:rPr>
                <w:rFonts w:ascii="Times New Roman" w:hAnsi="Times New Roman" w:cs="Times New Roman"/>
              </w:rPr>
              <w:t>įskaičiuotos į pasiūlymo kainą.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424F" w:rsidRDefault="001B424F" w14:paraId="65FF446A" w14:textId="7777777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4141E" w:rsidRDefault="0004141E" w14:paraId="7FF02E0B" w14:textId="77777777"/>
    <w:sectPr w:rsidR="0004141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E7321"/>
    <w:multiLevelType w:val="hybridMultilevel"/>
    <w:tmpl w:val="EA4628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4F"/>
    <w:rsid w:val="0004141E"/>
    <w:rsid w:val="001B424F"/>
    <w:rsid w:val="005721AB"/>
    <w:rsid w:val="0EE7BAFF"/>
    <w:rsid w:val="6155A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50BE0"/>
  <w15:chartTrackingRefBased/>
  <w15:docId w15:val="{5E08AD0E-9922-4E8A-9B9A-BBFA8CFB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B424F"/>
    <w:pPr>
      <w:spacing w:line="256" w:lineRule="auto"/>
      <w:jc w:val="left"/>
    </w:pPr>
    <w:rPr>
      <w:noProof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ListParagraphChar" w:customStyle="1">
    <w:name w:val="List Paragraph Char"/>
    <w:aliases w:val="Numbering Char,ERP-List Paragraph Char,List Paragraph1 Char,List Paragraph11 Char,Bullet EY Char,List Paragraph2 Char,List Paragraph21 Char,Lentele Char,List not in Table Char"/>
    <w:link w:val="ListParagraph"/>
    <w:locked/>
    <w:rsid w:val="001B424F"/>
    <w:rPr>
      <w:noProof/>
    </w:rPr>
  </w:style>
  <w:style w:type="paragraph" w:styleId="ListParagraph">
    <w:name w:val="List Paragraph"/>
    <w:aliases w:val="Numbering,ERP-List Paragraph,List Paragraph1,List Paragraph11,Bullet EY,List Paragraph2,List Paragraph21,Lentele,List not in Table"/>
    <w:basedOn w:val="Normal"/>
    <w:link w:val="ListParagraphChar"/>
    <w:qFormat/>
    <w:rsid w:val="001B424F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1B424F"/>
    <w:pPr>
      <w:spacing w:after="0" w:line="240" w:lineRule="auto"/>
      <w:jc w:val="left"/>
    </w:pPr>
    <w:rPr>
      <w:lang w:val="lt-LT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EA2EF9AB236C419BE26F40DED221E0" ma:contentTypeVersion="14" ma:contentTypeDescription="Kurkite naują dokumentą." ma:contentTypeScope="" ma:versionID="7d35587c326bd741cbd9fc0c96ce5adb">
  <xsd:schema xmlns:xsd="http://www.w3.org/2001/XMLSchema" xmlns:xs="http://www.w3.org/2001/XMLSchema" xmlns:p="http://schemas.microsoft.com/office/2006/metadata/properties" xmlns:ns3="3dbcadc2-176c-43f2-ba51-6ad2f29947d4" xmlns:ns4="53bf4003-63ef-4861-91f3-d24fd71417d5" targetNamespace="http://schemas.microsoft.com/office/2006/metadata/properties" ma:root="true" ma:fieldsID="1264e01b2536b344700f11108666867d" ns3:_="" ns4:_="">
    <xsd:import namespace="3dbcadc2-176c-43f2-ba51-6ad2f29947d4"/>
    <xsd:import namespace="53bf4003-63ef-4861-91f3-d24fd71417d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adc2-176c-43f2-ba51-6ad2f29947d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f4003-63ef-4861-91f3-d24fd71417d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bcadc2-176c-43f2-ba51-6ad2f29947d4" xsi:nil="true"/>
  </documentManagement>
</p:properties>
</file>

<file path=customXml/itemProps1.xml><?xml version="1.0" encoding="utf-8"?>
<ds:datastoreItem xmlns:ds="http://schemas.openxmlformats.org/officeDocument/2006/customXml" ds:itemID="{9D62D78E-26CE-4BF1-A057-384FF3D7E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adc2-176c-43f2-ba51-6ad2f29947d4"/>
    <ds:schemaRef ds:uri="53bf4003-63ef-4861-91f3-d24fd71417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C84B5F-105D-4408-AE7B-144F697C27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37F00-4EE8-4761-98D6-FEDA080BB8FF}">
  <ds:schemaRefs>
    <ds:schemaRef ds:uri="http://www.w3.org/XML/1998/namespace"/>
    <ds:schemaRef ds:uri="3dbcadc2-176c-43f2-ba51-6ad2f29947d4"/>
    <ds:schemaRef ds:uri="http://purl.org/dc/elements/1.1/"/>
    <ds:schemaRef ds:uri="http://purl.org/dc/dcmitype/"/>
    <ds:schemaRef ds:uri="53bf4003-63ef-4861-91f3-d24fd71417d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Mindaugas Žilius</dc:creator>
  <keywords/>
  <dc:description/>
  <lastModifiedBy>Eglė Navickienė</lastModifiedBy>
  <revision>2</revision>
  <dcterms:created xsi:type="dcterms:W3CDTF">2026-05-25T05:33:00.0000000Z</dcterms:created>
  <dcterms:modified xsi:type="dcterms:W3CDTF">2026-05-25T06:12:54.7531034Z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0dc36c2d-db55-4d1d-a6ba-d8380b85eb9a</vt:lpwstr>
  </property>
  <property fmtid="{D5CDD505-2E9C-101B-9397-08002B2CF9AE}" pid="3" name="ContentTypeId">
    <vt:lpwstr>0x0101009FEA2EF9AB236C419BE26F40DED221E0</vt:lpwstr>
  </property>
</Properties>
</file>